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Byzantine Future Capital Ltd. — ArcShares™ White Paper</w:t>
      </w:r>
    </w:p>
    <w:p>
      <w:pPr>
        <w:pStyle w:val="Heading1"/>
      </w:pPr>
      <w:r>
        <w:t>1. Introduction</w:t>
      </w:r>
    </w:p>
    <w:p>
      <w:r>
        <w:t>Byzantine Future Capital Ltd., incorporated under the Alberta Corporations Act, has developed a dual-layer financial structure that integrates both traditional fiat equity and a proprietary blockchain-based utility. This structure preserves the legal foundation of a Class A share corporation while extending its functionality through ArcShares™, a cryptographic system aligned with the company’s equity framework.</w:t>
      </w:r>
    </w:p>
    <w:p>
      <w:pPr>
        <w:pStyle w:val="Heading1"/>
      </w:pPr>
      <w:r>
        <w:t>2. Fiat Equity Framework — Class A Shares</w:t>
      </w:r>
    </w:p>
    <w:p>
      <w:r>
        <w:t>Byzantine Future Capital Ltd. is incorporated as a Class A share corporation with an authorized equity structure of 360 Class A shares. These represent the legal, fiat-denominated ownership interests in the company, recorded under provincial corporate law.</w:t>
      </w:r>
    </w:p>
    <w:p>
      <w:r>
        <w:t>The number 360 was deliberately chosen to symbolize completeness and unity, reflecting the 360° circle as a foundation for both governance and strategic planning. Each shareholder’s equity is thus represented as one degree within the total framework of the company’s ownership.</w:t>
      </w:r>
    </w:p>
    <w:p>
      <w:pPr>
        <w:pStyle w:val="Heading1"/>
      </w:pPr>
      <w:r>
        <w:t>3. ArcShares™ — The Blockchain Extension</w:t>
      </w:r>
    </w:p>
    <w:p>
      <w:r>
        <w:t>To complement and align with the 360 fiat Class A shares, Byzantine Future Capital Ltd. operates ArcShares™, its proprietary blockchain-based utility asset. The ArcShares supply is permanently capped at 720 tokens (360 × 2) and divided as follows:</w:t>
      </w:r>
    </w:p>
    <w:p>
      <w:r>
        <w:t>- 360° ArcShares permanently secured in the corporate vault (the reserve foundation).</w:t>
        <w:br/>
        <w:t>- 360° ArcShares allocated for active circulation within the internal economy.</w:t>
      </w:r>
    </w:p>
    <w:p>
      <w:r>
        <w:t>ArcShares are not independent public securities; rather, they function as a digital twin of the company’s equity structure. Their role is to bridge fiat equity ownership with blockchain-based corporate utilities.</w:t>
      </w:r>
    </w:p>
    <w:p>
      <w:pPr>
        <w:pStyle w:val="Heading1"/>
      </w:pPr>
      <w:r>
        <w:t>4. Fractionalization and Precision</w:t>
      </w:r>
    </w:p>
    <w:p>
      <w:r>
        <w:t>ArcShares follow a 360-degree geometric standard for precision and granularity. In-house wallets display balances in fractionalized units, enabling detailed tracking and transfer of value:</w:t>
      </w:r>
    </w:p>
    <w:p>
      <w:r>
        <w:t>- Degrees</w:t>
        <w:br/>
        <w:t>- Arc-minutes</w:t>
        <w:br/>
        <w:t>- Arc-seconds</w:t>
        <w:br/>
        <w:t>- Micro-arc-seconds</w:t>
        <w:br/>
        <w:t>- Milli-arc-seconds</w:t>
      </w:r>
    </w:p>
    <w:p>
      <w:r>
        <w:t>This degree-based fractionalization reflects the company’s foundational geometry, ensuring consistency between the fiat Class A shares and their digital ArcShare counterparts.</w:t>
      </w:r>
    </w:p>
    <w:p>
      <w:pPr>
        <w:pStyle w:val="Heading1"/>
      </w:pPr>
      <w:r>
        <w:t>5. Internal Applications of ArcShares™</w:t>
      </w:r>
    </w:p>
    <w:p>
      <w:r>
        <w:t>ArcShares are exclusively internal utilities, designed to operate within Byzantine Future Capital Ltd. They are not intended for public trading or speculative use. Their functions include:</w:t>
      </w:r>
    </w:p>
    <w:p>
      <w:r>
        <w:t>- Employee rewards and incentive programs</w:t>
        <w:br/>
        <w:t>- Corporate treasury operations</w:t>
        <w:br/>
        <w:t>- Transparent alignment between equity structure and blockchain-based utilities</w:t>
        <w:br/>
        <w:t>- Secure and auditable internal transactions</w:t>
      </w:r>
    </w:p>
    <w:p>
      <w:pPr>
        <w:pStyle w:val="Heading1"/>
      </w:pPr>
      <w:r>
        <w:t>6. Governance and Security</w:t>
      </w:r>
    </w:p>
    <w:p>
      <w:r>
        <w:t>The fiat Class A shares remain the ultimate basis of corporate ownership and control under Alberta law. ArcShares, while integrated into internal operations, are governed by strict custodial rules and internal protocols.</w:t>
      </w:r>
    </w:p>
    <w:p>
      <w:r>
        <w:t>The 360° ArcShares held in reserve provide a permanent anchor, ensuring stability and integrity of the system. Circulating ArcShares operate under corporate oversight, always tied back to the Class A share framework.</w:t>
      </w:r>
    </w:p>
    <w:p>
      <w:pPr>
        <w:pStyle w:val="Heading1"/>
      </w:pPr>
      <w:r>
        <w:t>7. Conclusion</w:t>
      </w:r>
    </w:p>
    <w:p>
      <w:r>
        <w:t>Byzantine Future Capital Ltd. demonstrates a pioneering model by combining traditional fiat Class A equity with blockchain-based ArcShares. This dual structure provides both legal security and digital utility, rooted in the symbolic completeness of 360°. Together, they form a coherent, internally aligned system for governance, rewards, treasury management, and long-term growth.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